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612" w:rsidRPr="004A1612" w:rsidRDefault="004A1612" w:rsidP="004A1612">
      <w:pPr>
        <w:pStyle w:val="Web"/>
        <w:spacing w:before="150" w:beforeAutospacing="0" w:after="150" w:afterAutospacing="0" w:line="225" w:lineRule="atLeast"/>
        <w:ind w:left="-567" w:right="-483"/>
        <w:rPr>
          <w:rFonts w:ascii="Tahoma" w:hAnsi="Tahoma" w:cs="Tahoma"/>
          <w:color w:val="696969"/>
          <w:sz w:val="28"/>
          <w:szCs w:val="28"/>
        </w:rPr>
      </w:pPr>
      <w:r w:rsidRPr="004A1612">
        <w:rPr>
          <w:rFonts w:ascii="Tahoma" w:hAnsi="Tahoma" w:cs="Tahoma"/>
          <w:color w:val="696969"/>
          <w:sz w:val="28"/>
          <w:szCs w:val="28"/>
        </w:rPr>
        <w:t>Η ρύθμιση που αντικαθιστά το καθεστώς των μετεγγραφών περιγράφεται ως εξής στο άρθρο 59. (Λοιπές διατάξεις) του σχεδίου νόμου</w:t>
      </w:r>
      <w:r w:rsidRPr="004A1612">
        <w:rPr>
          <w:rStyle w:val="apple-converted-space"/>
          <w:rFonts w:ascii="Tahoma" w:hAnsi="Tahoma" w:cs="Tahoma"/>
          <w:color w:val="696969"/>
          <w:sz w:val="28"/>
          <w:szCs w:val="28"/>
        </w:rPr>
        <w:t> </w:t>
      </w:r>
      <w:hyperlink r:id="rId4" w:tgtFrame="_blank" w:history="1">
        <w:r w:rsidRPr="004A1612">
          <w:rPr>
            <w:rStyle w:val="a3"/>
            <w:rFonts w:ascii="Tahoma" w:hAnsi="Tahoma" w:cs="Tahoma"/>
            <w:color w:val="006666"/>
            <w:sz w:val="28"/>
            <w:szCs w:val="28"/>
          </w:rPr>
          <w:t>«Θεσμικό πλαίσιο των πρότυπων πειραματικών σχολείων. Ίδρυση ινστιτούτου εκπαιδευτικής πολιτικής, οργάνωση του ινστιτούτου τεχνολογίας υπολογιστών και εκδόσεων «ΔΙΟΦΑΝΤΟΣ» και λοιπές διατάξεις»</w:t>
        </w:r>
      </w:hyperlink>
      <w:r w:rsidRPr="004A1612">
        <w:rPr>
          <w:rFonts w:ascii="Tahoma" w:hAnsi="Tahoma" w:cs="Tahoma"/>
          <w:color w:val="696969"/>
          <w:sz w:val="28"/>
          <w:szCs w:val="28"/>
        </w:rPr>
        <w:br/>
        <w:t>Άρθρο 59</w:t>
      </w:r>
      <w:r w:rsidRPr="004A1612">
        <w:rPr>
          <w:rFonts w:ascii="Tahoma" w:hAnsi="Tahoma" w:cs="Tahoma"/>
          <w:color w:val="696969"/>
          <w:sz w:val="28"/>
          <w:szCs w:val="28"/>
        </w:rPr>
        <w:br/>
        <w:t>Λοιπές διατάξεις</w:t>
      </w:r>
      <w:r w:rsidRPr="004A1612">
        <w:rPr>
          <w:rFonts w:ascii="Tahoma" w:hAnsi="Tahoma" w:cs="Tahoma"/>
          <w:color w:val="696969"/>
          <w:sz w:val="28"/>
          <w:szCs w:val="28"/>
        </w:rPr>
        <w:br/>
        <w:t>... β) Μετά την περίπτωση β της παραγράφου 2 του άρθρου 2 του ν.2525/1997 (188 Α') όπως διαμορφώνεται ανωτέρω προστίθεται περίπτωση γ ως ακολούθως:</w:t>
      </w:r>
      <w:r w:rsidRPr="004A1612">
        <w:rPr>
          <w:rFonts w:ascii="Tahoma" w:hAnsi="Tahoma" w:cs="Tahoma"/>
          <w:color w:val="696969"/>
          <w:sz w:val="28"/>
          <w:szCs w:val="28"/>
        </w:rPr>
        <w:br/>
        <w:t>«γ. Με απόφαση του Υπουργού Παιδείας, Δια Βίου Μάθησης και Θρησκευμάτων, και του κατά περίπτωση αρμόδιου Υπουργού, καθορίζονται μία φορά το χρόνο, ένα τουλάχιστον μήνα πριν την υποβολή των μηχανογραφικών δελτίων των υποψηφίων:</w:t>
      </w:r>
      <w:r w:rsidRPr="004A1612">
        <w:rPr>
          <w:rFonts w:ascii="Tahoma" w:hAnsi="Tahoma" w:cs="Tahoma"/>
          <w:color w:val="696969"/>
          <w:sz w:val="28"/>
          <w:szCs w:val="28"/>
        </w:rPr>
        <w:br/>
        <w:t>i. Ο συνολικός αριθμός των θέσεων εισακτέων στα τμήματα και τις Σχολές των Πανεπιστημίων, των Τεχνολογικών Εκπαιδευτικών Ιδρυμάτων (ΤΕΙ), των Ανώτατων Εκκλησιαστικών Ακαδημιών, της Ανώτατης Σχολής Παιδαγωγικής και Τεχνολογικής Εκπαίδευσης (Α.Σ.ΠΑΙ.Τ.Ε) και των Ανωτέρων Σχολών Τουριστικής Εκπαίδευσης του Υπουργείου Πολιτισμού και Τουρισμού.</w:t>
      </w:r>
      <w:r w:rsidRPr="004A1612">
        <w:rPr>
          <w:rFonts w:ascii="Tahoma" w:hAnsi="Tahoma" w:cs="Tahoma"/>
          <w:color w:val="696969"/>
          <w:sz w:val="28"/>
          <w:szCs w:val="28"/>
        </w:rPr>
        <w:br/>
        <w:t>Η απόφαση αυτή εκδίδεται μετά από γνώμη της Συγκλήτου κάθε Πανεπιστημίου, του Συμβουλίου κάθε ΤΕΙ και της Ανώτατης Σχολής Παιδαγωγικής και Τεχνολογικής Εκπαίδευσης (Α.Σ.ΠΑΙ.Τ.Ε), των αρμοδίων Συμβουλίων των Ανώτερων Σχολών Τουριστικής Εκπαίδευσης και του Ακαδημαϊκού Συμβουλίου των Ανώτατων Εκκλησιαστικών Ακαδημιών, καθώς και του ΕΣΥΠ, που υποβάλλονται στο Υπουργείο Παιδείας, Διά Βίου Μάθησης και Θρησκευμάτων.</w:t>
      </w:r>
    </w:p>
    <w:p w:rsidR="004A1612" w:rsidRPr="004A1612" w:rsidRDefault="004A1612" w:rsidP="004A1612">
      <w:pPr>
        <w:pStyle w:val="Web"/>
        <w:spacing w:before="150" w:beforeAutospacing="0" w:after="150" w:afterAutospacing="0" w:line="225" w:lineRule="atLeast"/>
        <w:ind w:left="-567" w:right="-483"/>
        <w:rPr>
          <w:rFonts w:ascii="Tahoma" w:hAnsi="Tahoma" w:cs="Tahoma"/>
          <w:color w:val="696969"/>
          <w:sz w:val="28"/>
          <w:szCs w:val="28"/>
        </w:rPr>
      </w:pPr>
      <w:r w:rsidRPr="004A1612">
        <w:rPr>
          <w:rStyle w:val="a3"/>
          <w:rFonts w:ascii="Tahoma" w:hAnsi="Tahoma" w:cs="Tahoma"/>
          <w:color w:val="696969"/>
          <w:sz w:val="28"/>
          <w:szCs w:val="28"/>
        </w:rPr>
        <w:t>ii) Ο αριθμός των θέσεων εισακτέων των κατόχων απολυτηρίου Γενικού ή Επαγγελματικού Λυκείου, πέραν του καθορισθέντος αριθμού στην περίπτωση i, στα Τμήματα και τις Σχολές της ίδιας περίπτωσης, ως ακολούθως:</w:t>
      </w:r>
      <w:r w:rsidRPr="004A1612">
        <w:rPr>
          <w:rFonts w:ascii="Tahoma" w:hAnsi="Tahoma" w:cs="Tahoma"/>
          <w:i/>
          <w:iCs/>
          <w:color w:val="696969"/>
          <w:sz w:val="28"/>
          <w:szCs w:val="28"/>
        </w:rPr>
        <w:br/>
      </w:r>
      <w:r w:rsidRPr="004A1612">
        <w:rPr>
          <w:rStyle w:val="a3"/>
          <w:rFonts w:ascii="Tahoma" w:hAnsi="Tahoma" w:cs="Tahoma"/>
          <w:color w:val="696969"/>
          <w:sz w:val="28"/>
          <w:szCs w:val="28"/>
        </w:rPr>
        <w:t>αα)</w:t>
      </w:r>
      <w:r w:rsidRPr="004A1612">
        <w:rPr>
          <w:rStyle w:val="apple-converted-space"/>
          <w:rFonts w:ascii="Tahoma" w:hAnsi="Tahoma" w:cs="Tahoma"/>
          <w:i/>
          <w:iCs/>
          <w:color w:val="696969"/>
          <w:sz w:val="28"/>
          <w:szCs w:val="28"/>
        </w:rPr>
        <w:t> </w:t>
      </w:r>
      <w:r w:rsidRPr="004A1612">
        <w:rPr>
          <w:rStyle w:val="a4"/>
          <w:rFonts w:ascii="Tahoma" w:hAnsi="Tahoma" w:cs="Tahoma"/>
          <w:i/>
          <w:iCs/>
          <w:color w:val="696969"/>
          <w:sz w:val="28"/>
          <w:szCs w:val="28"/>
        </w:rPr>
        <w:t>Υποψηφίων που είναι πολύτεκνοι</w:t>
      </w:r>
      <w:r w:rsidRPr="004A1612">
        <w:rPr>
          <w:rStyle w:val="apple-converted-space"/>
          <w:rFonts w:ascii="Tahoma" w:hAnsi="Tahoma" w:cs="Tahoma"/>
          <w:i/>
          <w:iCs/>
          <w:color w:val="696969"/>
          <w:sz w:val="28"/>
          <w:szCs w:val="28"/>
        </w:rPr>
        <w:t> </w:t>
      </w:r>
      <w:r w:rsidRPr="004A1612">
        <w:rPr>
          <w:rStyle w:val="a3"/>
          <w:rFonts w:ascii="Tahoma" w:hAnsi="Tahoma" w:cs="Tahoma"/>
          <w:color w:val="696969"/>
          <w:sz w:val="28"/>
          <w:szCs w:val="28"/>
        </w:rPr>
        <w:t>κατά την έννοια της παραγράφου 1 του άρθρου 6 του ν.3454/2006 (75 Α'),</w:t>
      </w:r>
      <w:r w:rsidRPr="004A1612">
        <w:rPr>
          <w:rFonts w:ascii="Tahoma" w:hAnsi="Tahoma" w:cs="Tahoma"/>
          <w:i/>
          <w:iCs/>
          <w:color w:val="696969"/>
          <w:sz w:val="28"/>
          <w:szCs w:val="28"/>
        </w:rPr>
        <w:br/>
      </w:r>
      <w:r w:rsidRPr="004A1612">
        <w:rPr>
          <w:rStyle w:val="a3"/>
          <w:rFonts w:ascii="Tahoma" w:hAnsi="Tahoma" w:cs="Tahoma"/>
          <w:color w:val="696969"/>
          <w:sz w:val="28"/>
          <w:szCs w:val="28"/>
        </w:rPr>
        <w:t>ββ)</w:t>
      </w:r>
      <w:r w:rsidRPr="004A1612">
        <w:rPr>
          <w:rStyle w:val="apple-converted-space"/>
          <w:rFonts w:ascii="Tahoma" w:hAnsi="Tahoma" w:cs="Tahoma"/>
          <w:i/>
          <w:iCs/>
          <w:color w:val="696969"/>
          <w:sz w:val="28"/>
          <w:szCs w:val="28"/>
        </w:rPr>
        <w:t> </w:t>
      </w:r>
      <w:r w:rsidRPr="004A1612">
        <w:rPr>
          <w:rStyle w:val="a4"/>
          <w:rFonts w:ascii="Tahoma" w:hAnsi="Tahoma" w:cs="Tahoma"/>
          <w:i/>
          <w:iCs/>
          <w:color w:val="696969"/>
          <w:sz w:val="28"/>
          <w:szCs w:val="28"/>
        </w:rPr>
        <w:t>Υποψηφίων γονέων και τέκνων πολυμελών οικογενειών με τρία ζώντα τέκνα</w:t>
      </w:r>
      <w:r w:rsidRPr="004A1612">
        <w:rPr>
          <w:rStyle w:val="apple-converted-space"/>
          <w:rFonts w:ascii="Tahoma" w:hAnsi="Tahoma" w:cs="Tahoma"/>
          <w:i/>
          <w:iCs/>
          <w:color w:val="696969"/>
          <w:sz w:val="28"/>
          <w:szCs w:val="28"/>
        </w:rPr>
        <w:t> </w:t>
      </w:r>
      <w:r w:rsidRPr="004A1612">
        <w:rPr>
          <w:rStyle w:val="a3"/>
          <w:rFonts w:ascii="Tahoma" w:hAnsi="Tahoma" w:cs="Tahoma"/>
          <w:color w:val="696969"/>
          <w:sz w:val="28"/>
          <w:szCs w:val="28"/>
        </w:rPr>
        <w:t>από νόμιμο γάμο ή νομιμοποιηθέντα ή νομίμως αναγνωρισθέντα ή υιοθετηθέντα, εφόσον κανένα από αυτά δεν υπερβαίνει το 26ο έτος της ηλικίας του, συμπεριλαμβανομένων των περιπτώσεων άγαμων μητέρων με τρία μη αναγνωρισθέντα ζώντα τέκνα, που δεν υπερβαίνουν το ανωτέρω όριο ηλικίας.</w:t>
      </w:r>
      <w:r w:rsidRPr="004A1612">
        <w:rPr>
          <w:rFonts w:ascii="Tahoma" w:hAnsi="Tahoma" w:cs="Tahoma"/>
          <w:i/>
          <w:iCs/>
          <w:color w:val="696969"/>
          <w:sz w:val="28"/>
          <w:szCs w:val="28"/>
        </w:rPr>
        <w:br/>
      </w:r>
      <w:r w:rsidRPr="004A1612">
        <w:rPr>
          <w:rStyle w:val="a3"/>
          <w:rFonts w:ascii="Tahoma" w:hAnsi="Tahoma" w:cs="Tahoma"/>
          <w:color w:val="696969"/>
          <w:sz w:val="28"/>
          <w:szCs w:val="28"/>
        </w:rPr>
        <w:t>γγ)</w:t>
      </w:r>
      <w:r w:rsidRPr="004A1612">
        <w:rPr>
          <w:rStyle w:val="apple-converted-space"/>
          <w:rFonts w:ascii="Tahoma" w:hAnsi="Tahoma" w:cs="Tahoma"/>
          <w:i/>
          <w:iCs/>
          <w:color w:val="696969"/>
          <w:sz w:val="28"/>
          <w:szCs w:val="28"/>
        </w:rPr>
        <w:t> </w:t>
      </w:r>
      <w:r w:rsidRPr="004A1612">
        <w:rPr>
          <w:rStyle w:val="a4"/>
          <w:rFonts w:ascii="Tahoma" w:hAnsi="Tahoma" w:cs="Tahoma"/>
          <w:i/>
          <w:iCs/>
          <w:color w:val="696969"/>
          <w:sz w:val="28"/>
          <w:szCs w:val="28"/>
        </w:rPr>
        <w:t>Υποψηφίων, Α) με αδελφό ή αδελφή που φοιτά</w:t>
      </w:r>
      <w:r w:rsidRPr="004A1612">
        <w:rPr>
          <w:rStyle w:val="apple-converted-space"/>
          <w:rFonts w:ascii="Tahoma" w:hAnsi="Tahoma" w:cs="Tahoma"/>
          <w:b/>
          <w:bCs/>
          <w:i/>
          <w:iCs/>
          <w:color w:val="696969"/>
          <w:sz w:val="28"/>
          <w:szCs w:val="28"/>
        </w:rPr>
        <w:t> </w:t>
      </w:r>
      <w:r w:rsidRPr="004A1612">
        <w:rPr>
          <w:rStyle w:val="a3"/>
          <w:rFonts w:ascii="Tahoma" w:hAnsi="Tahoma" w:cs="Tahoma"/>
          <w:color w:val="696969"/>
          <w:sz w:val="28"/>
          <w:szCs w:val="28"/>
        </w:rPr>
        <w:t xml:space="preserve">σε Πανεπιστήμιο </w:t>
      </w:r>
      <w:r w:rsidRPr="004A1612">
        <w:rPr>
          <w:rStyle w:val="a3"/>
          <w:rFonts w:ascii="Tahoma" w:hAnsi="Tahoma" w:cs="Tahoma"/>
          <w:color w:val="696969"/>
          <w:sz w:val="28"/>
          <w:szCs w:val="28"/>
        </w:rPr>
        <w:lastRenderedPageBreak/>
        <w:t>ή ΤΕΙ ή στις Ανώτατες Εκκλησιαστικές Ακαδημίες ή στην Ανώτατη Σχολή Παιδαγωγικής και Τεχνολογικής Εκπαίδευσης (Α.Σ.ΠΑΙ.Τ.Ε) καθώς και στις Ανώτερες Σχολές Τουριστικής Εκπαίδευσης του Υπουργείου Πολιτισμού και Τουρισμού διαφορετικής πόλης της μόνιμης κατοικίας γονέων,</w:t>
      </w:r>
      <w:r w:rsidRPr="004A1612">
        <w:rPr>
          <w:rStyle w:val="apple-converted-space"/>
          <w:rFonts w:ascii="Tahoma" w:hAnsi="Tahoma" w:cs="Tahoma"/>
          <w:i/>
          <w:iCs/>
          <w:color w:val="696969"/>
          <w:sz w:val="28"/>
          <w:szCs w:val="28"/>
        </w:rPr>
        <w:t> </w:t>
      </w:r>
      <w:r w:rsidRPr="004A1612">
        <w:rPr>
          <w:rStyle w:val="a4"/>
          <w:rFonts w:ascii="Tahoma" w:hAnsi="Tahoma" w:cs="Tahoma"/>
          <w:i/>
          <w:iCs/>
          <w:color w:val="696969"/>
          <w:sz w:val="28"/>
          <w:szCs w:val="28"/>
        </w:rPr>
        <w:t>Β) ορφανών από τον ένα ή και από τους δύο γονείς ή τέκνων άγαμης μητέρας</w:t>
      </w:r>
      <w:r w:rsidRPr="004A1612">
        <w:rPr>
          <w:rStyle w:val="apple-converted-space"/>
          <w:rFonts w:ascii="Tahoma" w:hAnsi="Tahoma" w:cs="Tahoma"/>
          <w:i/>
          <w:iCs/>
          <w:color w:val="696969"/>
          <w:sz w:val="28"/>
          <w:szCs w:val="28"/>
        </w:rPr>
        <w:t> </w:t>
      </w:r>
      <w:r w:rsidRPr="004A1612">
        <w:rPr>
          <w:rStyle w:val="a3"/>
          <w:rFonts w:ascii="Tahoma" w:hAnsi="Tahoma" w:cs="Tahoma"/>
          <w:color w:val="696969"/>
          <w:sz w:val="28"/>
          <w:szCs w:val="28"/>
        </w:rPr>
        <w:t>με ένα ή δύο μη αναγνωρισθέντα τέκνα,</w:t>
      </w:r>
      <w:r w:rsidRPr="004A1612">
        <w:rPr>
          <w:rStyle w:val="apple-converted-space"/>
          <w:rFonts w:ascii="Tahoma" w:hAnsi="Tahoma" w:cs="Tahoma"/>
          <w:i/>
          <w:iCs/>
          <w:color w:val="696969"/>
          <w:sz w:val="28"/>
          <w:szCs w:val="28"/>
        </w:rPr>
        <w:t> </w:t>
      </w:r>
      <w:r w:rsidRPr="004A1612">
        <w:rPr>
          <w:rStyle w:val="a4"/>
          <w:rFonts w:ascii="Tahoma" w:hAnsi="Tahoma" w:cs="Tahoma"/>
          <w:i/>
          <w:iCs/>
          <w:color w:val="696969"/>
          <w:sz w:val="28"/>
          <w:szCs w:val="28"/>
        </w:rPr>
        <w:t>Γ) με γονείς, τέκνα, αδέλφια, συζύγους που είναι τυφλοί ή κωφάλαλοι ή νεφροπαθείς, που υποβάλλονται σε αιμοκάθαρση ή πάσχουν από μυϊκή δυστροφία Duchenne ή ανήκουν στην κατηγορία ατόμων ειδικών αναγκών επειδή έχουν κινητικά προβλήματα οφειλόμενα σε αναπηρία άνω του 67%.</w:t>
      </w:r>
    </w:p>
    <w:p w:rsidR="004A1612" w:rsidRPr="004A1612" w:rsidRDefault="004A1612" w:rsidP="004A1612">
      <w:pPr>
        <w:pStyle w:val="Web"/>
        <w:spacing w:before="150" w:beforeAutospacing="0" w:after="150" w:afterAutospacing="0" w:line="225" w:lineRule="atLeast"/>
        <w:ind w:left="-567" w:right="-483"/>
        <w:rPr>
          <w:rFonts w:ascii="Tahoma" w:hAnsi="Tahoma" w:cs="Tahoma"/>
          <w:color w:val="696969"/>
          <w:sz w:val="28"/>
          <w:szCs w:val="28"/>
        </w:rPr>
      </w:pPr>
      <w:r w:rsidRPr="004A1612">
        <w:rPr>
          <w:rStyle w:val="a3"/>
          <w:rFonts w:ascii="Tahoma" w:hAnsi="Tahoma" w:cs="Tahoma"/>
          <w:color w:val="696969"/>
          <w:sz w:val="28"/>
          <w:szCs w:val="28"/>
        </w:rPr>
        <w:t>Για την εισαγωγή των υποψηφίων των π</w:t>
      </w:r>
      <w:r w:rsidRPr="004A1612">
        <w:rPr>
          <w:rStyle w:val="a4"/>
          <w:rFonts w:ascii="Tahoma" w:hAnsi="Tahoma" w:cs="Tahoma"/>
          <w:i/>
          <w:iCs/>
          <w:color w:val="696969"/>
          <w:sz w:val="28"/>
          <w:szCs w:val="28"/>
        </w:rPr>
        <w:t>εριπτώσεων αα έως και γγ</w:t>
      </w:r>
      <w:r w:rsidRPr="004A1612">
        <w:rPr>
          <w:rStyle w:val="apple-converted-space"/>
          <w:rFonts w:ascii="Tahoma" w:hAnsi="Tahoma" w:cs="Tahoma"/>
          <w:b/>
          <w:bCs/>
          <w:i/>
          <w:iCs/>
          <w:color w:val="696969"/>
          <w:sz w:val="28"/>
          <w:szCs w:val="28"/>
        </w:rPr>
        <w:t> </w:t>
      </w:r>
      <w:r w:rsidRPr="004A1612">
        <w:rPr>
          <w:rStyle w:val="a3"/>
          <w:rFonts w:ascii="Tahoma" w:hAnsi="Tahoma" w:cs="Tahoma"/>
          <w:color w:val="696969"/>
          <w:sz w:val="28"/>
          <w:szCs w:val="28"/>
        </w:rPr>
        <w:t>στα Τμήματα και τις Σχολές της περίπτωσης ί της παρούσης που βρίσκονται</w:t>
      </w:r>
      <w:r w:rsidRPr="004A1612">
        <w:rPr>
          <w:rStyle w:val="apple-converted-space"/>
          <w:rFonts w:ascii="Tahoma" w:hAnsi="Tahoma" w:cs="Tahoma"/>
          <w:i/>
          <w:iCs/>
          <w:color w:val="696969"/>
          <w:sz w:val="28"/>
          <w:szCs w:val="28"/>
        </w:rPr>
        <w:t> </w:t>
      </w:r>
      <w:r w:rsidRPr="004A1612">
        <w:rPr>
          <w:rStyle w:val="a4"/>
          <w:rFonts w:ascii="Tahoma" w:hAnsi="Tahoma" w:cs="Tahoma"/>
          <w:i/>
          <w:iCs/>
          <w:color w:val="696969"/>
          <w:sz w:val="28"/>
          <w:szCs w:val="28"/>
        </w:rPr>
        <w:t>στους νομούς Αττικής και Θεσσαλονίκης</w:t>
      </w:r>
      <w:r w:rsidRPr="004A1612">
        <w:rPr>
          <w:rStyle w:val="a3"/>
          <w:rFonts w:ascii="Tahoma" w:hAnsi="Tahoma" w:cs="Tahoma"/>
          <w:color w:val="696969"/>
          <w:sz w:val="28"/>
          <w:szCs w:val="28"/>
        </w:rPr>
        <w:t>, το συνολικό για τους υποψηφίους των περιπτώσεων αα έως και γγ,-οικογενειακό εισόδημα του τελευταίου πριν την εισαγωγή τους έτους, δεν θα πρέπει να υπερβαίνει το ποσό των πενήντα</w:t>
      </w:r>
      <w:r w:rsidRPr="004A1612">
        <w:rPr>
          <w:rStyle w:val="apple-converted-space"/>
          <w:rFonts w:ascii="Tahoma" w:hAnsi="Tahoma" w:cs="Tahoma"/>
          <w:i/>
          <w:iCs/>
          <w:color w:val="696969"/>
          <w:sz w:val="28"/>
          <w:szCs w:val="28"/>
        </w:rPr>
        <w:t> </w:t>
      </w:r>
      <w:r w:rsidRPr="004A1612">
        <w:rPr>
          <w:rStyle w:val="a4"/>
          <w:rFonts w:ascii="Tahoma" w:hAnsi="Tahoma" w:cs="Tahoma"/>
          <w:i/>
          <w:iCs/>
          <w:color w:val="696969"/>
          <w:sz w:val="28"/>
          <w:szCs w:val="28"/>
        </w:rPr>
        <w:t>(50.000) χιλιάδων ευρώ.</w:t>
      </w:r>
      <w:r w:rsidRPr="004A1612">
        <w:rPr>
          <w:rStyle w:val="apple-converted-space"/>
          <w:rFonts w:ascii="Tahoma" w:hAnsi="Tahoma" w:cs="Tahoma"/>
          <w:i/>
          <w:iCs/>
          <w:color w:val="696969"/>
          <w:sz w:val="28"/>
          <w:szCs w:val="28"/>
        </w:rPr>
        <w:t> </w:t>
      </w:r>
      <w:r w:rsidRPr="004A1612">
        <w:rPr>
          <w:rStyle w:val="a3"/>
          <w:rFonts w:ascii="Tahoma" w:hAnsi="Tahoma" w:cs="Tahoma"/>
          <w:color w:val="696969"/>
          <w:sz w:val="28"/>
          <w:szCs w:val="28"/>
        </w:rPr>
        <w:t>Για την εισαγωγή υποψηφίων στα λοιπά Τμήματα και Σχολές δεν εφαρμόζεται ο οικονομικός περιορισμός του προηγούμενου εδαφίου.</w:t>
      </w:r>
      <w:r w:rsidRPr="004A1612">
        <w:rPr>
          <w:rFonts w:ascii="Tahoma" w:hAnsi="Tahoma" w:cs="Tahoma"/>
          <w:i/>
          <w:iCs/>
          <w:color w:val="696969"/>
          <w:sz w:val="28"/>
          <w:szCs w:val="28"/>
        </w:rPr>
        <w:br/>
      </w:r>
      <w:r w:rsidRPr="004A1612">
        <w:rPr>
          <w:rStyle w:val="a3"/>
          <w:rFonts w:ascii="Tahoma" w:hAnsi="Tahoma" w:cs="Tahoma"/>
          <w:color w:val="696969"/>
          <w:sz w:val="28"/>
          <w:szCs w:val="28"/>
        </w:rPr>
        <w:t>δδ)</w:t>
      </w:r>
      <w:r w:rsidRPr="004A1612">
        <w:rPr>
          <w:rStyle w:val="apple-converted-space"/>
          <w:rFonts w:ascii="Tahoma" w:hAnsi="Tahoma" w:cs="Tahoma"/>
          <w:i/>
          <w:iCs/>
          <w:color w:val="696969"/>
          <w:sz w:val="28"/>
          <w:szCs w:val="28"/>
        </w:rPr>
        <w:t> </w:t>
      </w:r>
      <w:r w:rsidRPr="004A1612">
        <w:rPr>
          <w:rStyle w:val="a4"/>
          <w:rFonts w:ascii="Tahoma" w:hAnsi="Tahoma" w:cs="Tahoma"/>
          <w:i/>
          <w:iCs/>
          <w:color w:val="696969"/>
          <w:sz w:val="28"/>
          <w:szCs w:val="28"/>
        </w:rPr>
        <w:t>Τέκνων των θυμάτων της τρομοκρατίας</w:t>
      </w:r>
      <w:r w:rsidRPr="004A1612">
        <w:rPr>
          <w:rStyle w:val="apple-converted-space"/>
          <w:rFonts w:ascii="Tahoma" w:hAnsi="Tahoma" w:cs="Tahoma"/>
          <w:i/>
          <w:iCs/>
          <w:color w:val="696969"/>
          <w:sz w:val="28"/>
          <w:szCs w:val="28"/>
        </w:rPr>
        <w:t> </w:t>
      </w:r>
      <w:r w:rsidRPr="004A1612">
        <w:rPr>
          <w:rStyle w:val="a3"/>
          <w:rFonts w:ascii="Tahoma" w:hAnsi="Tahoma" w:cs="Tahoma"/>
          <w:color w:val="696969"/>
          <w:sz w:val="28"/>
          <w:szCs w:val="28"/>
        </w:rPr>
        <w:t>που αναφέρονται στην παράγραφο 1 του άρθρου 1 του ν.1897/1990 (120 Α').</w:t>
      </w:r>
      <w:r w:rsidRPr="004A1612">
        <w:rPr>
          <w:rFonts w:ascii="Tahoma" w:hAnsi="Tahoma" w:cs="Tahoma"/>
          <w:i/>
          <w:iCs/>
          <w:color w:val="696969"/>
          <w:sz w:val="28"/>
          <w:szCs w:val="28"/>
        </w:rPr>
        <w:br/>
      </w:r>
      <w:r w:rsidRPr="004A1612">
        <w:rPr>
          <w:rStyle w:val="a3"/>
          <w:rFonts w:ascii="Tahoma" w:hAnsi="Tahoma" w:cs="Tahoma"/>
          <w:color w:val="696969"/>
          <w:sz w:val="28"/>
          <w:szCs w:val="28"/>
        </w:rPr>
        <w:t>Τα ποσά του συνολικού οικογενειακού εισοδήματος αναπροσαρμόζονται με απόφαση των Υπουργών Παιδείας, Δια Βίου Μάθησης και Θρησκευμάτων και Οικονομικών.</w:t>
      </w:r>
      <w:r w:rsidRPr="004A1612">
        <w:rPr>
          <w:rFonts w:ascii="Tahoma" w:hAnsi="Tahoma" w:cs="Tahoma"/>
          <w:i/>
          <w:iCs/>
          <w:color w:val="696969"/>
          <w:sz w:val="28"/>
          <w:szCs w:val="28"/>
        </w:rPr>
        <w:br/>
      </w:r>
      <w:r w:rsidRPr="004A1612">
        <w:rPr>
          <w:rStyle w:val="a4"/>
          <w:rFonts w:ascii="Tahoma" w:hAnsi="Tahoma" w:cs="Tahoma"/>
          <w:i/>
          <w:iCs/>
          <w:color w:val="696969"/>
          <w:sz w:val="28"/>
          <w:szCs w:val="28"/>
        </w:rPr>
        <w:t>Ο συνολικός αριθμός των θέσεων εισακτέων της περίπτωσης ii δεν μπορεί να υπερβαίνει το είκοσι τοις εκατό (20%) των θέσεων εισακτέων της περίπτωσης i.</w:t>
      </w:r>
      <w:r w:rsidRPr="004A1612">
        <w:rPr>
          <w:rFonts w:ascii="Tahoma" w:hAnsi="Tahoma" w:cs="Tahoma"/>
          <w:color w:val="696969"/>
          <w:sz w:val="28"/>
          <w:szCs w:val="28"/>
        </w:rPr>
        <w:br/>
      </w:r>
      <w:r w:rsidRPr="004A1612">
        <w:rPr>
          <w:rFonts w:ascii="Tahoma" w:hAnsi="Tahoma" w:cs="Tahoma"/>
          <w:color w:val="696969"/>
          <w:sz w:val="28"/>
          <w:szCs w:val="28"/>
        </w:rPr>
        <w:br/>
        <w:t>iii. Ο αριθμός των θέσεων εισακτέων στα Τμήματα και τις Σχολές της περίπτωσης i της παρούσας υποψηφίων των άρθρων: α) 34 του ν.2725/1999 (121 Α'), όπως αυτό αντικαταστάθηκε με την παράγραφο 8 του άρθρου 18 του ν.3708/2008 (210 Α') και αφορούν στην εισαγωγή αθλητών με διακρίσεις στην τριτοβάθμια εκπαίδευση, β) 2 παράγραφος 4α' και β' του ν. 2525/1997 (188 Α'), όπως αντικαταστάθηκε από το άρθρο 1 παράγραφος 2 του ν.2909/2001 (90 Α') και το άρθρο 13 παρ. 3 του ν.3404/2005 (260 Α') που αφορούν στην εισαγωγή τέκνων ελλήνων εξωτερικού, αλλογενών -αλλοδαπών και υποψηφίων ελλήνων της μουσουλμανικής μειονότητας της Θράκης στην τριτοβάθμια εκπαίδευση και γ) 35 του ν.3794/2009 (156 Α') που αφορούν στην εισαγωγή πασχόντων από σοβαρές παθήσεις στην τριτοβάθμια εκπαίδευση.</w:t>
      </w:r>
      <w:r w:rsidRPr="004A1612">
        <w:rPr>
          <w:rFonts w:ascii="Tahoma" w:hAnsi="Tahoma" w:cs="Tahoma"/>
          <w:color w:val="696969"/>
          <w:sz w:val="28"/>
          <w:szCs w:val="28"/>
        </w:rPr>
        <w:br/>
      </w:r>
      <w:r w:rsidRPr="004A1612">
        <w:rPr>
          <w:rFonts w:ascii="Tahoma" w:hAnsi="Tahoma" w:cs="Tahoma"/>
          <w:color w:val="696969"/>
          <w:sz w:val="28"/>
          <w:szCs w:val="28"/>
        </w:rPr>
        <w:lastRenderedPageBreak/>
        <w:br/>
      </w:r>
      <w:r w:rsidRPr="004A1612">
        <w:rPr>
          <w:rStyle w:val="a4"/>
          <w:rFonts w:ascii="Tahoma" w:hAnsi="Tahoma" w:cs="Tahoma"/>
          <w:i/>
          <w:iCs/>
          <w:color w:val="696969"/>
          <w:sz w:val="28"/>
          <w:szCs w:val="28"/>
        </w:rPr>
        <w:t>Κατά τη διαδικασία επιλογής, κάθε υποψήφιος των ειδικών περιπτώσεων αα έως δδ,</w:t>
      </w:r>
      <w:r w:rsidRPr="004A1612">
        <w:rPr>
          <w:rStyle w:val="apple-converted-space"/>
          <w:rFonts w:ascii="Tahoma" w:hAnsi="Tahoma" w:cs="Tahoma"/>
          <w:i/>
          <w:iCs/>
          <w:color w:val="696969"/>
          <w:sz w:val="28"/>
          <w:szCs w:val="28"/>
        </w:rPr>
        <w:t> </w:t>
      </w:r>
      <w:r w:rsidRPr="004A1612">
        <w:rPr>
          <w:rStyle w:val="a3"/>
          <w:rFonts w:ascii="Tahoma" w:hAnsi="Tahoma" w:cs="Tahoma"/>
          <w:color w:val="696969"/>
          <w:sz w:val="28"/>
          <w:szCs w:val="28"/>
        </w:rPr>
        <w:t>της περίπτωσης ii κρίνεται για επιλογή για τις προβλεπόμενες θέσεις, που καθορίζονται σύμφωνα με τις διατάξεις της περίπτωσης i του παρόντος άρθρου για κάθε τμήμα ή σχολή, με βάση το σύνολο των μορίων κατά φθίνουσα σειρά μορίων και τη δήλωση προτίμησης του στο μηχανογραφικό δελτίο, κατά πρώτον, ως υποψήφιος της γενικής σειράς. Εάν δεν εισάγεται στη σχολή ή το τμήμα που έχει δηλώσει πρώτο στις προτιμήσεις του, κρίνεται για επιλογή για τις ειδικές θέσεις της ίδιας σχολής ή τμήματος ως υποψήφιος μιας εκ των ειδικών περιπτώσεων. Αν δεν εισάγεται ούτε με το ειδικό ποσοστό στο συγκεκριμένο τμήμα ή σχολή, η διαδικασία συνεχίζεται με την επόμενη προτίμηση του υποψηφίου, τόσο στην γενική σειρά όσο και στην ειδική. Αν δεν εισαχθεί και σε αυτό το τμήμα ή σχολή με την γενική σειρά και την ειδική που έχει δηλώσει, η διαδικασία συνεχίζεται με τις επόμενες κατά σειρά προτίμησης του υποψηφίου στο μηχανογραφικό του δελτίο. Εάν ο υποψήφιος ανήκει σε περισσότερες από μία των ειδικών περιπτώσεων επιλέγει μόνο μία.</w:t>
      </w:r>
      <w:r w:rsidRPr="004A1612">
        <w:rPr>
          <w:rFonts w:ascii="Tahoma" w:hAnsi="Tahoma" w:cs="Tahoma"/>
          <w:i/>
          <w:iCs/>
          <w:color w:val="696969"/>
          <w:sz w:val="28"/>
          <w:szCs w:val="28"/>
        </w:rPr>
        <w:br/>
      </w:r>
      <w:r w:rsidRPr="004A1612">
        <w:rPr>
          <w:rStyle w:val="a3"/>
          <w:rFonts w:ascii="Tahoma" w:hAnsi="Tahoma" w:cs="Tahoma"/>
          <w:color w:val="696969"/>
          <w:sz w:val="28"/>
          <w:szCs w:val="28"/>
        </w:rPr>
        <w:t>Εάν με το σύνολο των μορίων που έχει επιτύχει ο υποψήφιος μπορεί να εισαχθεί σε περισσότερες από μια σχολές ή τμήματα</w:t>
      </w:r>
      <w:r w:rsidRPr="004A1612">
        <w:rPr>
          <w:rStyle w:val="a4"/>
          <w:rFonts w:ascii="Tahoma" w:hAnsi="Tahoma" w:cs="Tahoma"/>
          <w:i/>
          <w:iCs/>
          <w:color w:val="696969"/>
          <w:sz w:val="28"/>
          <w:szCs w:val="28"/>
        </w:rPr>
        <w:t>εισάγεται τελικά μόνον σε εκείνη τη σχολή ή τμήμα που προσδιόρισε στη δήλωση του με σειρά προτίμησης υψηλότερη σε σχέση με τις άλλες σχολές ή τμήματα που έχει δηλώσει.</w:t>
      </w:r>
      <w:r w:rsidRPr="004A1612">
        <w:rPr>
          <w:rFonts w:ascii="Tahoma" w:hAnsi="Tahoma" w:cs="Tahoma"/>
          <w:i/>
          <w:iCs/>
          <w:color w:val="696969"/>
          <w:sz w:val="28"/>
          <w:szCs w:val="28"/>
        </w:rPr>
        <w:br/>
      </w:r>
      <w:r w:rsidRPr="004A1612">
        <w:rPr>
          <w:rStyle w:val="a3"/>
          <w:rFonts w:ascii="Tahoma" w:hAnsi="Tahoma" w:cs="Tahoma"/>
          <w:color w:val="696969"/>
          <w:sz w:val="28"/>
          <w:szCs w:val="28"/>
        </w:rPr>
        <w:t>Με απόφαση του Υπουργού Παιδείας, Δια Βίου Μάθησης και Θρησκευμάτων, καθορίζονται τα αναγκαία δικαιολογητικά, η διαδικασία κατάθεσης, ο τόπος και ο χρόνος υποβολής και τα όργανα ελέγχου των δικαιολογητικών, καθώς και κάθε άλλο θέμα σχετικό με την ένταξη των υποψηφίων στις κατηγορίες της περίπτωσης ii.</w:t>
      </w:r>
      <w:r w:rsidRPr="004A1612">
        <w:rPr>
          <w:rFonts w:ascii="Tahoma" w:hAnsi="Tahoma" w:cs="Tahoma"/>
          <w:i/>
          <w:iCs/>
          <w:color w:val="696969"/>
          <w:sz w:val="28"/>
          <w:szCs w:val="28"/>
        </w:rPr>
        <w:br/>
      </w:r>
      <w:r w:rsidRPr="004A1612">
        <w:rPr>
          <w:rStyle w:val="a4"/>
          <w:rFonts w:ascii="Tahoma" w:hAnsi="Tahoma" w:cs="Tahoma"/>
          <w:i/>
          <w:iCs/>
          <w:color w:val="696969"/>
          <w:sz w:val="28"/>
          <w:szCs w:val="28"/>
        </w:rPr>
        <w:t>Εάν μετά την εισαγωγή, με οποιονδήποτε τρόπο διαπιστωθεί ότι δεν συντρέχουν οι νόμιμες προϋποθέσεις υπαγωγής στις περιπτώσεις αα έως και δδ, της περίπτωσης ϋ λόγω υποβολής ψευδών ή μη νομίμων δικαιολογητικών, οι εισαχθέντες διαγράφονται από τα τμήματα εισαγωγής και αποκλείονται κατά τα επόμενα δύο (2) ακαδημαϊκά έτη από κάθε διαδικασία εισαγωγής σε όλα τα Πανεπιστήμια, ΤΕΙ ή Σχολές της περίπτωσης i.</w:t>
      </w:r>
    </w:p>
    <w:p w:rsidR="00E75673" w:rsidRDefault="00E75673"/>
    <w:sectPr w:rsidR="00E75673" w:rsidSect="00E75673">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1612"/>
    <w:rsid w:val="000040AD"/>
    <w:rsid w:val="00004F1A"/>
    <w:rsid w:val="00013271"/>
    <w:rsid w:val="00014226"/>
    <w:rsid w:val="00015DFA"/>
    <w:rsid w:val="00023F58"/>
    <w:rsid w:val="00024515"/>
    <w:rsid w:val="00024AF6"/>
    <w:rsid w:val="00025E78"/>
    <w:rsid w:val="00027C25"/>
    <w:rsid w:val="00030546"/>
    <w:rsid w:val="00030675"/>
    <w:rsid w:val="000321FB"/>
    <w:rsid w:val="0003614B"/>
    <w:rsid w:val="00042EFC"/>
    <w:rsid w:val="00050B2F"/>
    <w:rsid w:val="00051433"/>
    <w:rsid w:val="00051BD1"/>
    <w:rsid w:val="00056E28"/>
    <w:rsid w:val="00060D8C"/>
    <w:rsid w:val="000615F8"/>
    <w:rsid w:val="0006173E"/>
    <w:rsid w:val="000628E9"/>
    <w:rsid w:val="000629A3"/>
    <w:rsid w:val="00067582"/>
    <w:rsid w:val="0007008F"/>
    <w:rsid w:val="000708A1"/>
    <w:rsid w:val="00072FC0"/>
    <w:rsid w:val="00077D53"/>
    <w:rsid w:val="00084F37"/>
    <w:rsid w:val="00085232"/>
    <w:rsid w:val="0008671E"/>
    <w:rsid w:val="00087F64"/>
    <w:rsid w:val="00087F6E"/>
    <w:rsid w:val="0009333F"/>
    <w:rsid w:val="000A0DC3"/>
    <w:rsid w:val="000A1023"/>
    <w:rsid w:val="000A5D62"/>
    <w:rsid w:val="000A6EAB"/>
    <w:rsid w:val="000B02A5"/>
    <w:rsid w:val="000B3F5B"/>
    <w:rsid w:val="000C029B"/>
    <w:rsid w:val="000C1D01"/>
    <w:rsid w:val="000C6A83"/>
    <w:rsid w:val="000C7E7C"/>
    <w:rsid w:val="000D24A3"/>
    <w:rsid w:val="000D34CD"/>
    <w:rsid w:val="000D50C5"/>
    <w:rsid w:val="000E0873"/>
    <w:rsid w:val="000E1624"/>
    <w:rsid w:val="000E223D"/>
    <w:rsid w:val="000F03C1"/>
    <w:rsid w:val="000F0B2A"/>
    <w:rsid w:val="000F3D19"/>
    <w:rsid w:val="000F7C1B"/>
    <w:rsid w:val="00104913"/>
    <w:rsid w:val="00104A9D"/>
    <w:rsid w:val="00106AE5"/>
    <w:rsid w:val="00106F6A"/>
    <w:rsid w:val="001115C4"/>
    <w:rsid w:val="001132D0"/>
    <w:rsid w:val="001146F4"/>
    <w:rsid w:val="0011674F"/>
    <w:rsid w:val="00130803"/>
    <w:rsid w:val="0013217E"/>
    <w:rsid w:val="00133B9A"/>
    <w:rsid w:val="00133E3F"/>
    <w:rsid w:val="001359DC"/>
    <w:rsid w:val="00143829"/>
    <w:rsid w:val="00144446"/>
    <w:rsid w:val="00145063"/>
    <w:rsid w:val="001459E6"/>
    <w:rsid w:val="00145BCD"/>
    <w:rsid w:val="00146BB5"/>
    <w:rsid w:val="00153718"/>
    <w:rsid w:val="001539EF"/>
    <w:rsid w:val="00163D8A"/>
    <w:rsid w:val="001672AC"/>
    <w:rsid w:val="0017224C"/>
    <w:rsid w:val="00174A52"/>
    <w:rsid w:val="00181D29"/>
    <w:rsid w:val="001822F1"/>
    <w:rsid w:val="00185048"/>
    <w:rsid w:val="001874A4"/>
    <w:rsid w:val="00193E65"/>
    <w:rsid w:val="00196627"/>
    <w:rsid w:val="001A009F"/>
    <w:rsid w:val="001A3717"/>
    <w:rsid w:val="001A4FD3"/>
    <w:rsid w:val="001B022F"/>
    <w:rsid w:val="001B0C81"/>
    <w:rsid w:val="001B75F0"/>
    <w:rsid w:val="001B7F11"/>
    <w:rsid w:val="001C04EE"/>
    <w:rsid w:val="001C07FF"/>
    <w:rsid w:val="001C3FF2"/>
    <w:rsid w:val="001D06EE"/>
    <w:rsid w:val="001D1A7E"/>
    <w:rsid w:val="001D25D1"/>
    <w:rsid w:val="001D2946"/>
    <w:rsid w:val="001D5F99"/>
    <w:rsid w:val="001D7D28"/>
    <w:rsid w:val="001D7F38"/>
    <w:rsid w:val="001E0346"/>
    <w:rsid w:val="001E1E87"/>
    <w:rsid w:val="001E3D3C"/>
    <w:rsid w:val="001E3E6C"/>
    <w:rsid w:val="001E4181"/>
    <w:rsid w:val="001F2711"/>
    <w:rsid w:val="001F71C1"/>
    <w:rsid w:val="001F72F9"/>
    <w:rsid w:val="001F7F34"/>
    <w:rsid w:val="00203763"/>
    <w:rsid w:val="00205543"/>
    <w:rsid w:val="00210297"/>
    <w:rsid w:val="002105C1"/>
    <w:rsid w:val="002108A5"/>
    <w:rsid w:val="00210DED"/>
    <w:rsid w:val="00212CBC"/>
    <w:rsid w:val="00213E94"/>
    <w:rsid w:val="002155A0"/>
    <w:rsid w:val="002160D6"/>
    <w:rsid w:val="00217200"/>
    <w:rsid w:val="002179C5"/>
    <w:rsid w:val="002242F7"/>
    <w:rsid w:val="002244EC"/>
    <w:rsid w:val="00224F00"/>
    <w:rsid w:val="00227732"/>
    <w:rsid w:val="002301E5"/>
    <w:rsid w:val="002345FA"/>
    <w:rsid w:val="00235BC4"/>
    <w:rsid w:val="00236E19"/>
    <w:rsid w:val="002374F8"/>
    <w:rsid w:val="0024195F"/>
    <w:rsid w:val="00244384"/>
    <w:rsid w:val="00244E3A"/>
    <w:rsid w:val="002453C6"/>
    <w:rsid w:val="00246077"/>
    <w:rsid w:val="00254D2F"/>
    <w:rsid w:val="00257D5D"/>
    <w:rsid w:val="00261D7B"/>
    <w:rsid w:val="00262860"/>
    <w:rsid w:val="00262A0F"/>
    <w:rsid w:val="002630CC"/>
    <w:rsid w:val="00264328"/>
    <w:rsid w:val="00264830"/>
    <w:rsid w:val="002705FC"/>
    <w:rsid w:val="00273156"/>
    <w:rsid w:val="002830B6"/>
    <w:rsid w:val="00290147"/>
    <w:rsid w:val="00295361"/>
    <w:rsid w:val="00295EF0"/>
    <w:rsid w:val="00295F4A"/>
    <w:rsid w:val="00297FE6"/>
    <w:rsid w:val="002A37BB"/>
    <w:rsid w:val="002A628A"/>
    <w:rsid w:val="002A69B6"/>
    <w:rsid w:val="002A77E2"/>
    <w:rsid w:val="002A7EEF"/>
    <w:rsid w:val="002C02BF"/>
    <w:rsid w:val="002C54F2"/>
    <w:rsid w:val="002D276F"/>
    <w:rsid w:val="002D5B4E"/>
    <w:rsid w:val="002D5BB7"/>
    <w:rsid w:val="002E2216"/>
    <w:rsid w:val="002F3C1A"/>
    <w:rsid w:val="002F4E6F"/>
    <w:rsid w:val="002F4FF0"/>
    <w:rsid w:val="002F682F"/>
    <w:rsid w:val="002F6B63"/>
    <w:rsid w:val="00302EED"/>
    <w:rsid w:val="00312BD5"/>
    <w:rsid w:val="00313A8E"/>
    <w:rsid w:val="003151F6"/>
    <w:rsid w:val="003176C0"/>
    <w:rsid w:val="00321A9B"/>
    <w:rsid w:val="00326436"/>
    <w:rsid w:val="00331535"/>
    <w:rsid w:val="00331B85"/>
    <w:rsid w:val="003325B8"/>
    <w:rsid w:val="0033556C"/>
    <w:rsid w:val="00335EFE"/>
    <w:rsid w:val="00341714"/>
    <w:rsid w:val="003436EE"/>
    <w:rsid w:val="0034511D"/>
    <w:rsid w:val="0035005A"/>
    <w:rsid w:val="00350216"/>
    <w:rsid w:val="0035048C"/>
    <w:rsid w:val="00351EBD"/>
    <w:rsid w:val="00352309"/>
    <w:rsid w:val="00352520"/>
    <w:rsid w:val="003527AE"/>
    <w:rsid w:val="0035744A"/>
    <w:rsid w:val="00360BB8"/>
    <w:rsid w:val="00366A9F"/>
    <w:rsid w:val="0036724D"/>
    <w:rsid w:val="00370531"/>
    <w:rsid w:val="00370585"/>
    <w:rsid w:val="0037403E"/>
    <w:rsid w:val="0037405A"/>
    <w:rsid w:val="00375ACE"/>
    <w:rsid w:val="00377115"/>
    <w:rsid w:val="0038232F"/>
    <w:rsid w:val="00382DAD"/>
    <w:rsid w:val="003833D2"/>
    <w:rsid w:val="00385679"/>
    <w:rsid w:val="00392948"/>
    <w:rsid w:val="00395679"/>
    <w:rsid w:val="003A1C3B"/>
    <w:rsid w:val="003A2085"/>
    <w:rsid w:val="003A4346"/>
    <w:rsid w:val="003A6E84"/>
    <w:rsid w:val="003B2BFF"/>
    <w:rsid w:val="003C31D7"/>
    <w:rsid w:val="003C78A6"/>
    <w:rsid w:val="003D0449"/>
    <w:rsid w:val="003D0913"/>
    <w:rsid w:val="003D0C0D"/>
    <w:rsid w:val="003D31C7"/>
    <w:rsid w:val="003D4328"/>
    <w:rsid w:val="003E0A5A"/>
    <w:rsid w:val="003E3521"/>
    <w:rsid w:val="003E468C"/>
    <w:rsid w:val="003F10CA"/>
    <w:rsid w:val="003F1EA0"/>
    <w:rsid w:val="003F1F57"/>
    <w:rsid w:val="003F2074"/>
    <w:rsid w:val="003F48C1"/>
    <w:rsid w:val="003F6AD1"/>
    <w:rsid w:val="00400B4F"/>
    <w:rsid w:val="004010A8"/>
    <w:rsid w:val="00401B1A"/>
    <w:rsid w:val="00407A61"/>
    <w:rsid w:val="004103EA"/>
    <w:rsid w:val="00411409"/>
    <w:rsid w:val="00415177"/>
    <w:rsid w:val="004178AF"/>
    <w:rsid w:val="004200FB"/>
    <w:rsid w:val="00425E9C"/>
    <w:rsid w:val="0042678E"/>
    <w:rsid w:val="004307E0"/>
    <w:rsid w:val="00431F81"/>
    <w:rsid w:val="0043638B"/>
    <w:rsid w:val="0043725A"/>
    <w:rsid w:val="00440A28"/>
    <w:rsid w:val="004422D5"/>
    <w:rsid w:val="0044242F"/>
    <w:rsid w:val="0044360A"/>
    <w:rsid w:val="00445B95"/>
    <w:rsid w:val="00445FAA"/>
    <w:rsid w:val="00447171"/>
    <w:rsid w:val="00450A93"/>
    <w:rsid w:val="004511B8"/>
    <w:rsid w:val="00452B18"/>
    <w:rsid w:val="0045561F"/>
    <w:rsid w:val="004556DC"/>
    <w:rsid w:val="00464028"/>
    <w:rsid w:val="00470A02"/>
    <w:rsid w:val="004710F3"/>
    <w:rsid w:val="004717E0"/>
    <w:rsid w:val="0047190D"/>
    <w:rsid w:val="00474C0E"/>
    <w:rsid w:val="00475941"/>
    <w:rsid w:val="00476880"/>
    <w:rsid w:val="00477444"/>
    <w:rsid w:val="00480AEC"/>
    <w:rsid w:val="00483824"/>
    <w:rsid w:val="00484634"/>
    <w:rsid w:val="0048773F"/>
    <w:rsid w:val="004916CE"/>
    <w:rsid w:val="00491A65"/>
    <w:rsid w:val="00492C45"/>
    <w:rsid w:val="004963AB"/>
    <w:rsid w:val="00496C38"/>
    <w:rsid w:val="00497D0C"/>
    <w:rsid w:val="004A1612"/>
    <w:rsid w:val="004B0269"/>
    <w:rsid w:val="004C07FD"/>
    <w:rsid w:val="004C0FDC"/>
    <w:rsid w:val="004C18BC"/>
    <w:rsid w:val="004C6831"/>
    <w:rsid w:val="004C75B6"/>
    <w:rsid w:val="004C7641"/>
    <w:rsid w:val="004D28E8"/>
    <w:rsid w:val="004E061F"/>
    <w:rsid w:val="004E2537"/>
    <w:rsid w:val="004E4ACB"/>
    <w:rsid w:val="004E6121"/>
    <w:rsid w:val="004F327B"/>
    <w:rsid w:val="004F33C8"/>
    <w:rsid w:val="004F47FB"/>
    <w:rsid w:val="004F76E1"/>
    <w:rsid w:val="005001AF"/>
    <w:rsid w:val="00500ED9"/>
    <w:rsid w:val="00501AF9"/>
    <w:rsid w:val="00503559"/>
    <w:rsid w:val="00504277"/>
    <w:rsid w:val="0050652B"/>
    <w:rsid w:val="005135DE"/>
    <w:rsid w:val="00517D83"/>
    <w:rsid w:val="005234FB"/>
    <w:rsid w:val="00523DC5"/>
    <w:rsid w:val="005256B4"/>
    <w:rsid w:val="00525981"/>
    <w:rsid w:val="0052633E"/>
    <w:rsid w:val="0053157C"/>
    <w:rsid w:val="00534C81"/>
    <w:rsid w:val="0053547B"/>
    <w:rsid w:val="00541667"/>
    <w:rsid w:val="00541FA1"/>
    <w:rsid w:val="00543E4B"/>
    <w:rsid w:val="005442E3"/>
    <w:rsid w:val="00544F30"/>
    <w:rsid w:val="00545673"/>
    <w:rsid w:val="00545DFC"/>
    <w:rsid w:val="00550043"/>
    <w:rsid w:val="00557085"/>
    <w:rsid w:val="00557572"/>
    <w:rsid w:val="005602E7"/>
    <w:rsid w:val="005603A0"/>
    <w:rsid w:val="00562353"/>
    <w:rsid w:val="00566530"/>
    <w:rsid w:val="0056690A"/>
    <w:rsid w:val="00570C5C"/>
    <w:rsid w:val="00571D6E"/>
    <w:rsid w:val="00572B60"/>
    <w:rsid w:val="00576524"/>
    <w:rsid w:val="00577144"/>
    <w:rsid w:val="00577BAC"/>
    <w:rsid w:val="005873D3"/>
    <w:rsid w:val="00591C49"/>
    <w:rsid w:val="00592016"/>
    <w:rsid w:val="00594C34"/>
    <w:rsid w:val="0059541E"/>
    <w:rsid w:val="00596994"/>
    <w:rsid w:val="005A37D9"/>
    <w:rsid w:val="005A4001"/>
    <w:rsid w:val="005A5291"/>
    <w:rsid w:val="005B4319"/>
    <w:rsid w:val="005B6037"/>
    <w:rsid w:val="005B7519"/>
    <w:rsid w:val="005C4E7D"/>
    <w:rsid w:val="005C5BA7"/>
    <w:rsid w:val="005D047E"/>
    <w:rsid w:val="005D0C21"/>
    <w:rsid w:val="005D28BE"/>
    <w:rsid w:val="005D3F14"/>
    <w:rsid w:val="005D4EE6"/>
    <w:rsid w:val="005E110C"/>
    <w:rsid w:val="005E2972"/>
    <w:rsid w:val="005E4CCA"/>
    <w:rsid w:val="005E72C2"/>
    <w:rsid w:val="005E79C2"/>
    <w:rsid w:val="005F041D"/>
    <w:rsid w:val="005F06D4"/>
    <w:rsid w:val="005F0E82"/>
    <w:rsid w:val="005F4F4D"/>
    <w:rsid w:val="005F50BA"/>
    <w:rsid w:val="005F7580"/>
    <w:rsid w:val="00601C4C"/>
    <w:rsid w:val="00603689"/>
    <w:rsid w:val="0061389C"/>
    <w:rsid w:val="0063413D"/>
    <w:rsid w:val="00636133"/>
    <w:rsid w:val="00641831"/>
    <w:rsid w:val="00650DC6"/>
    <w:rsid w:val="00654576"/>
    <w:rsid w:val="006571C9"/>
    <w:rsid w:val="00657855"/>
    <w:rsid w:val="00657CD1"/>
    <w:rsid w:val="006634E6"/>
    <w:rsid w:val="00664CEA"/>
    <w:rsid w:val="00665EBA"/>
    <w:rsid w:val="00671EF6"/>
    <w:rsid w:val="00672360"/>
    <w:rsid w:val="00680A34"/>
    <w:rsid w:val="0068274B"/>
    <w:rsid w:val="006827A9"/>
    <w:rsid w:val="00686C20"/>
    <w:rsid w:val="00687751"/>
    <w:rsid w:val="00690B1C"/>
    <w:rsid w:val="00692949"/>
    <w:rsid w:val="00693684"/>
    <w:rsid w:val="006A00E6"/>
    <w:rsid w:val="006A2E4C"/>
    <w:rsid w:val="006B24F1"/>
    <w:rsid w:val="006B2DE4"/>
    <w:rsid w:val="006B7C1C"/>
    <w:rsid w:val="006C44D4"/>
    <w:rsid w:val="006C5258"/>
    <w:rsid w:val="006C591D"/>
    <w:rsid w:val="006C5E2A"/>
    <w:rsid w:val="006C70E3"/>
    <w:rsid w:val="006C7E11"/>
    <w:rsid w:val="006D1E13"/>
    <w:rsid w:val="006D2EB7"/>
    <w:rsid w:val="006D6B9B"/>
    <w:rsid w:val="006E04B8"/>
    <w:rsid w:val="006E08E7"/>
    <w:rsid w:val="006E0FF2"/>
    <w:rsid w:val="006E27C2"/>
    <w:rsid w:val="006E2821"/>
    <w:rsid w:val="006E409C"/>
    <w:rsid w:val="006E56AD"/>
    <w:rsid w:val="006E6377"/>
    <w:rsid w:val="006F0290"/>
    <w:rsid w:val="006F04F2"/>
    <w:rsid w:val="006F1170"/>
    <w:rsid w:val="006F1D93"/>
    <w:rsid w:val="006F2F9C"/>
    <w:rsid w:val="006F49D8"/>
    <w:rsid w:val="006F7AFF"/>
    <w:rsid w:val="00702853"/>
    <w:rsid w:val="00704659"/>
    <w:rsid w:val="00705DAB"/>
    <w:rsid w:val="00713B73"/>
    <w:rsid w:val="00715957"/>
    <w:rsid w:val="00717496"/>
    <w:rsid w:val="007232B0"/>
    <w:rsid w:val="00723BF7"/>
    <w:rsid w:val="00724642"/>
    <w:rsid w:val="00727DE2"/>
    <w:rsid w:val="00730101"/>
    <w:rsid w:val="00735861"/>
    <w:rsid w:val="007364E8"/>
    <w:rsid w:val="00742890"/>
    <w:rsid w:val="00746CAC"/>
    <w:rsid w:val="00750D7D"/>
    <w:rsid w:val="00754376"/>
    <w:rsid w:val="00756139"/>
    <w:rsid w:val="00765BF4"/>
    <w:rsid w:val="00766F51"/>
    <w:rsid w:val="007853D4"/>
    <w:rsid w:val="007871B4"/>
    <w:rsid w:val="007878FD"/>
    <w:rsid w:val="00787B79"/>
    <w:rsid w:val="00791D1B"/>
    <w:rsid w:val="00795A69"/>
    <w:rsid w:val="007A00EE"/>
    <w:rsid w:val="007A0914"/>
    <w:rsid w:val="007A0BE8"/>
    <w:rsid w:val="007A12F6"/>
    <w:rsid w:val="007A4562"/>
    <w:rsid w:val="007A4A0B"/>
    <w:rsid w:val="007B31F6"/>
    <w:rsid w:val="007B33FD"/>
    <w:rsid w:val="007B368D"/>
    <w:rsid w:val="007B4AE3"/>
    <w:rsid w:val="007B4C31"/>
    <w:rsid w:val="007C0435"/>
    <w:rsid w:val="007C1E8B"/>
    <w:rsid w:val="007C2B38"/>
    <w:rsid w:val="007C45AD"/>
    <w:rsid w:val="007C4CF5"/>
    <w:rsid w:val="007D0686"/>
    <w:rsid w:val="007D19E6"/>
    <w:rsid w:val="007D2AA7"/>
    <w:rsid w:val="007D5549"/>
    <w:rsid w:val="007D6D47"/>
    <w:rsid w:val="007E0825"/>
    <w:rsid w:val="007E1633"/>
    <w:rsid w:val="007E18D9"/>
    <w:rsid w:val="007E2663"/>
    <w:rsid w:val="007E3039"/>
    <w:rsid w:val="007F05BE"/>
    <w:rsid w:val="007F3903"/>
    <w:rsid w:val="00806127"/>
    <w:rsid w:val="008068A8"/>
    <w:rsid w:val="00810B1D"/>
    <w:rsid w:val="00816355"/>
    <w:rsid w:val="008217A9"/>
    <w:rsid w:val="008260DE"/>
    <w:rsid w:val="00830A31"/>
    <w:rsid w:val="00832106"/>
    <w:rsid w:val="00832224"/>
    <w:rsid w:val="00832874"/>
    <w:rsid w:val="00833BE6"/>
    <w:rsid w:val="008347F0"/>
    <w:rsid w:val="00835EE8"/>
    <w:rsid w:val="00840DD8"/>
    <w:rsid w:val="00844226"/>
    <w:rsid w:val="00845842"/>
    <w:rsid w:val="00845E01"/>
    <w:rsid w:val="008470CB"/>
    <w:rsid w:val="0085338B"/>
    <w:rsid w:val="00854886"/>
    <w:rsid w:val="00860AB6"/>
    <w:rsid w:val="008634BD"/>
    <w:rsid w:val="00863AB4"/>
    <w:rsid w:val="0086735C"/>
    <w:rsid w:val="00872E39"/>
    <w:rsid w:val="0087501D"/>
    <w:rsid w:val="00875781"/>
    <w:rsid w:val="00875CF2"/>
    <w:rsid w:val="008768BE"/>
    <w:rsid w:val="00877FD6"/>
    <w:rsid w:val="00880BCF"/>
    <w:rsid w:val="008936F6"/>
    <w:rsid w:val="008949B3"/>
    <w:rsid w:val="00895503"/>
    <w:rsid w:val="00895F92"/>
    <w:rsid w:val="00897BE5"/>
    <w:rsid w:val="008A2FC9"/>
    <w:rsid w:val="008A7ED8"/>
    <w:rsid w:val="008B4322"/>
    <w:rsid w:val="008C1F65"/>
    <w:rsid w:val="008C5826"/>
    <w:rsid w:val="008C5ABB"/>
    <w:rsid w:val="008D1B01"/>
    <w:rsid w:val="008D2E94"/>
    <w:rsid w:val="008D2F7A"/>
    <w:rsid w:val="008D3479"/>
    <w:rsid w:val="008D49C3"/>
    <w:rsid w:val="008D5BF6"/>
    <w:rsid w:val="008D7E26"/>
    <w:rsid w:val="008E1FB8"/>
    <w:rsid w:val="008E26E1"/>
    <w:rsid w:val="008E71F3"/>
    <w:rsid w:val="008F1122"/>
    <w:rsid w:val="008F4355"/>
    <w:rsid w:val="0090063E"/>
    <w:rsid w:val="00906C83"/>
    <w:rsid w:val="009076ED"/>
    <w:rsid w:val="00910DAB"/>
    <w:rsid w:val="00915C6D"/>
    <w:rsid w:val="009206B4"/>
    <w:rsid w:val="0092265E"/>
    <w:rsid w:val="00923232"/>
    <w:rsid w:val="00931226"/>
    <w:rsid w:val="00931765"/>
    <w:rsid w:val="009335B2"/>
    <w:rsid w:val="009344F5"/>
    <w:rsid w:val="00944159"/>
    <w:rsid w:val="0094415A"/>
    <w:rsid w:val="00945A69"/>
    <w:rsid w:val="009478A2"/>
    <w:rsid w:val="00947EEF"/>
    <w:rsid w:val="00951019"/>
    <w:rsid w:val="009522BC"/>
    <w:rsid w:val="00955B1F"/>
    <w:rsid w:val="00955D87"/>
    <w:rsid w:val="00956526"/>
    <w:rsid w:val="0096449A"/>
    <w:rsid w:val="00965DC0"/>
    <w:rsid w:val="0096682C"/>
    <w:rsid w:val="00966AC9"/>
    <w:rsid w:val="00975244"/>
    <w:rsid w:val="00975531"/>
    <w:rsid w:val="009770A5"/>
    <w:rsid w:val="00980355"/>
    <w:rsid w:val="0098184A"/>
    <w:rsid w:val="009866F9"/>
    <w:rsid w:val="0098696A"/>
    <w:rsid w:val="00986F94"/>
    <w:rsid w:val="00992DAB"/>
    <w:rsid w:val="0099315F"/>
    <w:rsid w:val="00994B40"/>
    <w:rsid w:val="009957F3"/>
    <w:rsid w:val="0099722C"/>
    <w:rsid w:val="00997C93"/>
    <w:rsid w:val="009A06C3"/>
    <w:rsid w:val="009A3D69"/>
    <w:rsid w:val="009A4E6F"/>
    <w:rsid w:val="009B028F"/>
    <w:rsid w:val="009B1256"/>
    <w:rsid w:val="009B13F0"/>
    <w:rsid w:val="009B36E7"/>
    <w:rsid w:val="009B5B87"/>
    <w:rsid w:val="009C017E"/>
    <w:rsid w:val="009C097F"/>
    <w:rsid w:val="009C0D37"/>
    <w:rsid w:val="009C32FF"/>
    <w:rsid w:val="009C3BA2"/>
    <w:rsid w:val="009C4702"/>
    <w:rsid w:val="009C5E5A"/>
    <w:rsid w:val="009C674F"/>
    <w:rsid w:val="009E419F"/>
    <w:rsid w:val="009E5771"/>
    <w:rsid w:val="009E5A67"/>
    <w:rsid w:val="009E7AF5"/>
    <w:rsid w:val="00A008BA"/>
    <w:rsid w:val="00A029F6"/>
    <w:rsid w:val="00A031E8"/>
    <w:rsid w:val="00A03441"/>
    <w:rsid w:val="00A07A61"/>
    <w:rsid w:val="00A22CEE"/>
    <w:rsid w:val="00A32D74"/>
    <w:rsid w:val="00A34DDF"/>
    <w:rsid w:val="00A34E5F"/>
    <w:rsid w:val="00A36033"/>
    <w:rsid w:val="00A37082"/>
    <w:rsid w:val="00A4501F"/>
    <w:rsid w:val="00A562E1"/>
    <w:rsid w:val="00A60A5E"/>
    <w:rsid w:val="00A610BD"/>
    <w:rsid w:val="00A61634"/>
    <w:rsid w:val="00A65C6A"/>
    <w:rsid w:val="00A6610D"/>
    <w:rsid w:val="00A6640A"/>
    <w:rsid w:val="00A66DF9"/>
    <w:rsid w:val="00A67B27"/>
    <w:rsid w:val="00A74D7E"/>
    <w:rsid w:val="00A776DA"/>
    <w:rsid w:val="00A7776B"/>
    <w:rsid w:val="00A83F1A"/>
    <w:rsid w:val="00A850EB"/>
    <w:rsid w:val="00A855DB"/>
    <w:rsid w:val="00A87631"/>
    <w:rsid w:val="00A910ED"/>
    <w:rsid w:val="00A94899"/>
    <w:rsid w:val="00A94DEF"/>
    <w:rsid w:val="00A9608D"/>
    <w:rsid w:val="00A96E77"/>
    <w:rsid w:val="00A97159"/>
    <w:rsid w:val="00A9731B"/>
    <w:rsid w:val="00A976D1"/>
    <w:rsid w:val="00AA08C2"/>
    <w:rsid w:val="00AA3574"/>
    <w:rsid w:val="00AA420F"/>
    <w:rsid w:val="00AA4878"/>
    <w:rsid w:val="00AA4F27"/>
    <w:rsid w:val="00AA6101"/>
    <w:rsid w:val="00AA6FBF"/>
    <w:rsid w:val="00AA7655"/>
    <w:rsid w:val="00AB0D05"/>
    <w:rsid w:val="00AB3157"/>
    <w:rsid w:val="00AB4CC9"/>
    <w:rsid w:val="00AB60C2"/>
    <w:rsid w:val="00AB662B"/>
    <w:rsid w:val="00AC2BCE"/>
    <w:rsid w:val="00AC4653"/>
    <w:rsid w:val="00AD3547"/>
    <w:rsid w:val="00AD459A"/>
    <w:rsid w:val="00AD6CA8"/>
    <w:rsid w:val="00AE171C"/>
    <w:rsid w:val="00AE5000"/>
    <w:rsid w:val="00AE730F"/>
    <w:rsid w:val="00AF29AC"/>
    <w:rsid w:val="00AF2E30"/>
    <w:rsid w:val="00AF4D84"/>
    <w:rsid w:val="00AF79E0"/>
    <w:rsid w:val="00B0116C"/>
    <w:rsid w:val="00B01935"/>
    <w:rsid w:val="00B024EB"/>
    <w:rsid w:val="00B06D33"/>
    <w:rsid w:val="00B11239"/>
    <w:rsid w:val="00B116B9"/>
    <w:rsid w:val="00B21738"/>
    <w:rsid w:val="00B326DF"/>
    <w:rsid w:val="00B32D4C"/>
    <w:rsid w:val="00B34ACF"/>
    <w:rsid w:val="00B378A2"/>
    <w:rsid w:val="00B40F3A"/>
    <w:rsid w:val="00B43153"/>
    <w:rsid w:val="00B478F2"/>
    <w:rsid w:val="00B519E0"/>
    <w:rsid w:val="00B522A9"/>
    <w:rsid w:val="00B523E4"/>
    <w:rsid w:val="00B53236"/>
    <w:rsid w:val="00B53873"/>
    <w:rsid w:val="00B612B3"/>
    <w:rsid w:val="00B6684F"/>
    <w:rsid w:val="00B67BDC"/>
    <w:rsid w:val="00B711FF"/>
    <w:rsid w:val="00B71AA2"/>
    <w:rsid w:val="00B71B60"/>
    <w:rsid w:val="00B76C08"/>
    <w:rsid w:val="00B800F1"/>
    <w:rsid w:val="00B81459"/>
    <w:rsid w:val="00B81B00"/>
    <w:rsid w:val="00B83093"/>
    <w:rsid w:val="00B834C0"/>
    <w:rsid w:val="00B844B2"/>
    <w:rsid w:val="00B84969"/>
    <w:rsid w:val="00B858CE"/>
    <w:rsid w:val="00B87118"/>
    <w:rsid w:val="00B876EF"/>
    <w:rsid w:val="00B87731"/>
    <w:rsid w:val="00B879AB"/>
    <w:rsid w:val="00B87A09"/>
    <w:rsid w:val="00B87F61"/>
    <w:rsid w:val="00B90210"/>
    <w:rsid w:val="00B91E9B"/>
    <w:rsid w:val="00B93E05"/>
    <w:rsid w:val="00B9594C"/>
    <w:rsid w:val="00B976D2"/>
    <w:rsid w:val="00BA1BE9"/>
    <w:rsid w:val="00BA1BF7"/>
    <w:rsid w:val="00BA366A"/>
    <w:rsid w:val="00BA42F8"/>
    <w:rsid w:val="00BA442A"/>
    <w:rsid w:val="00BA5EC6"/>
    <w:rsid w:val="00BA781F"/>
    <w:rsid w:val="00BC126E"/>
    <w:rsid w:val="00BC440B"/>
    <w:rsid w:val="00BC44EF"/>
    <w:rsid w:val="00BC543A"/>
    <w:rsid w:val="00BC7426"/>
    <w:rsid w:val="00BD0D67"/>
    <w:rsid w:val="00BD2131"/>
    <w:rsid w:val="00BD2D95"/>
    <w:rsid w:val="00BD52CD"/>
    <w:rsid w:val="00BE1ED2"/>
    <w:rsid w:val="00BE2ABA"/>
    <w:rsid w:val="00BE378F"/>
    <w:rsid w:val="00BE4B9B"/>
    <w:rsid w:val="00BF3766"/>
    <w:rsid w:val="00C025C3"/>
    <w:rsid w:val="00C02724"/>
    <w:rsid w:val="00C06D6B"/>
    <w:rsid w:val="00C1099A"/>
    <w:rsid w:val="00C1156D"/>
    <w:rsid w:val="00C22620"/>
    <w:rsid w:val="00C263CB"/>
    <w:rsid w:val="00C30A03"/>
    <w:rsid w:val="00C30FC0"/>
    <w:rsid w:val="00C3151D"/>
    <w:rsid w:val="00C412C1"/>
    <w:rsid w:val="00C426A0"/>
    <w:rsid w:val="00C43FAA"/>
    <w:rsid w:val="00C47801"/>
    <w:rsid w:val="00C47E47"/>
    <w:rsid w:val="00C50B6C"/>
    <w:rsid w:val="00C53082"/>
    <w:rsid w:val="00C563D3"/>
    <w:rsid w:val="00C5751F"/>
    <w:rsid w:val="00C5796A"/>
    <w:rsid w:val="00C62FF1"/>
    <w:rsid w:val="00C63D8E"/>
    <w:rsid w:val="00C6432B"/>
    <w:rsid w:val="00C650DB"/>
    <w:rsid w:val="00C661F0"/>
    <w:rsid w:val="00C73327"/>
    <w:rsid w:val="00C846BA"/>
    <w:rsid w:val="00C90381"/>
    <w:rsid w:val="00C93DE0"/>
    <w:rsid w:val="00C94F01"/>
    <w:rsid w:val="00C9511C"/>
    <w:rsid w:val="00C959C9"/>
    <w:rsid w:val="00CA7D7C"/>
    <w:rsid w:val="00CB0559"/>
    <w:rsid w:val="00CB27E8"/>
    <w:rsid w:val="00CB2A0A"/>
    <w:rsid w:val="00CB59B7"/>
    <w:rsid w:val="00CC1922"/>
    <w:rsid w:val="00CC393A"/>
    <w:rsid w:val="00CC4868"/>
    <w:rsid w:val="00CC5A17"/>
    <w:rsid w:val="00CD18CA"/>
    <w:rsid w:val="00CD40D7"/>
    <w:rsid w:val="00CD47FC"/>
    <w:rsid w:val="00CD66B0"/>
    <w:rsid w:val="00CE102B"/>
    <w:rsid w:val="00CE1CD1"/>
    <w:rsid w:val="00CE3285"/>
    <w:rsid w:val="00CE5E9C"/>
    <w:rsid w:val="00CE6443"/>
    <w:rsid w:val="00CE65CA"/>
    <w:rsid w:val="00CE762C"/>
    <w:rsid w:val="00CF44AE"/>
    <w:rsid w:val="00CF4A5F"/>
    <w:rsid w:val="00CF4B4E"/>
    <w:rsid w:val="00CF7E90"/>
    <w:rsid w:val="00D01DE6"/>
    <w:rsid w:val="00D043AF"/>
    <w:rsid w:val="00D071A8"/>
    <w:rsid w:val="00D125FC"/>
    <w:rsid w:val="00D1366E"/>
    <w:rsid w:val="00D16A52"/>
    <w:rsid w:val="00D24D21"/>
    <w:rsid w:val="00D252F9"/>
    <w:rsid w:val="00D26448"/>
    <w:rsid w:val="00D34D37"/>
    <w:rsid w:val="00D3540B"/>
    <w:rsid w:val="00D403AA"/>
    <w:rsid w:val="00D42F59"/>
    <w:rsid w:val="00D44A1F"/>
    <w:rsid w:val="00D455DD"/>
    <w:rsid w:val="00D46A59"/>
    <w:rsid w:val="00D515C3"/>
    <w:rsid w:val="00D53994"/>
    <w:rsid w:val="00D53D17"/>
    <w:rsid w:val="00D606B7"/>
    <w:rsid w:val="00D63DC1"/>
    <w:rsid w:val="00D662CF"/>
    <w:rsid w:val="00D72179"/>
    <w:rsid w:val="00D72FDB"/>
    <w:rsid w:val="00D750BA"/>
    <w:rsid w:val="00D76360"/>
    <w:rsid w:val="00D777F2"/>
    <w:rsid w:val="00D82E66"/>
    <w:rsid w:val="00D846E4"/>
    <w:rsid w:val="00D855DE"/>
    <w:rsid w:val="00D86D36"/>
    <w:rsid w:val="00D87BD1"/>
    <w:rsid w:val="00D94A0D"/>
    <w:rsid w:val="00D94D46"/>
    <w:rsid w:val="00D95B01"/>
    <w:rsid w:val="00DA0856"/>
    <w:rsid w:val="00DA1EF3"/>
    <w:rsid w:val="00DB16BF"/>
    <w:rsid w:val="00DB4A53"/>
    <w:rsid w:val="00DB4A9F"/>
    <w:rsid w:val="00DB5E3B"/>
    <w:rsid w:val="00DC15B1"/>
    <w:rsid w:val="00DC2565"/>
    <w:rsid w:val="00DC5723"/>
    <w:rsid w:val="00DD0335"/>
    <w:rsid w:val="00DD5248"/>
    <w:rsid w:val="00DE5B29"/>
    <w:rsid w:val="00DF1623"/>
    <w:rsid w:val="00DF5CE6"/>
    <w:rsid w:val="00DF6511"/>
    <w:rsid w:val="00DF71DC"/>
    <w:rsid w:val="00DF7684"/>
    <w:rsid w:val="00DF7A0E"/>
    <w:rsid w:val="00E0074F"/>
    <w:rsid w:val="00E012B1"/>
    <w:rsid w:val="00E024EB"/>
    <w:rsid w:val="00E044DB"/>
    <w:rsid w:val="00E059D7"/>
    <w:rsid w:val="00E076EE"/>
    <w:rsid w:val="00E07D36"/>
    <w:rsid w:val="00E11E61"/>
    <w:rsid w:val="00E14140"/>
    <w:rsid w:val="00E22CD6"/>
    <w:rsid w:val="00E25D5F"/>
    <w:rsid w:val="00E2704A"/>
    <w:rsid w:val="00E3010B"/>
    <w:rsid w:val="00E31413"/>
    <w:rsid w:val="00E3195E"/>
    <w:rsid w:val="00E332F2"/>
    <w:rsid w:val="00E3502B"/>
    <w:rsid w:val="00E368C3"/>
    <w:rsid w:val="00E40A58"/>
    <w:rsid w:val="00E40F44"/>
    <w:rsid w:val="00E432CD"/>
    <w:rsid w:val="00E43805"/>
    <w:rsid w:val="00E4398F"/>
    <w:rsid w:val="00E561FF"/>
    <w:rsid w:val="00E600A3"/>
    <w:rsid w:val="00E6021F"/>
    <w:rsid w:val="00E61418"/>
    <w:rsid w:val="00E63274"/>
    <w:rsid w:val="00E7253A"/>
    <w:rsid w:val="00E74929"/>
    <w:rsid w:val="00E75673"/>
    <w:rsid w:val="00E83641"/>
    <w:rsid w:val="00E849EC"/>
    <w:rsid w:val="00E84D57"/>
    <w:rsid w:val="00E85BCA"/>
    <w:rsid w:val="00E907C5"/>
    <w:rsid w:val="00E9093E"/>
    <w:rsid w:val="00E91E01"/>
    <w:rsid w:val="00E9336C"/>
    <w:rsid w:val="00E95B11"/>
    <w:rsid w:val="00E95BCF"/>
    <w:rsid w:val="00E96439"/>
    <w:rsid w:val="00E97806"/>
    <w:rsid w:val="00EA19CA"/>
    <w:rsid w:val="00EA749C"/>
    <w:rsid w:val="00EB0E72"/>
    <w:rsid w:val="00EB2BD1"/>
    <w:rsid w:val="00EB386C"/>
    <w:rsid w:val="00EB471E"/>
    <w:rsid w:val="00EB5388"/>
    <w:rsid w:val="00EC151C"/>
    <w:rsid w:val="00EC6C84"/>
    <w:rsid w:val="00ED0452"/>
    <w:rsid w:val="00ED11E6"/>
    <w:rsid w:val="00ED4265"/>
    <w:rsid w:val="00ED50A1"/>
    <w:rsid w:val="00ED520D"/>
    <w:rsid w:val="00EE460A"/>
    <w:rsid w:val="00EE6FC0"/>
    <w:rsid w:val="00EF039E"/>
    <w:rsid w:val="00EF0616"/>
    <w:rsid w:val="00EF08B0"/>
    <w:rsid w:val="00EF1313"/>
    <w:rsid w:val="00EF3C0B"/>
    <w:rsid w:val="00EF6C6B"/>
    <w:rsid w:val="00EF7CF0"/>
    <w:rsid w:val="00F01B8F"/>
    <w:rsid w:val="00F02152"/>
    <w:rsid w:val="00F02B62"/>
    <w:rsid w:val="00F05478"/>
    <w:rsid w:val="00F058EE"/>
    <w:rsid w:val="00F06ABE"/>
    <w:rsid w:val="00F07267"/>
    <w:rsid w:val="00F100D5"/>
    <w:rsid w:val="00F103DD"/>
    <w:rsid w:val="00F11A82"/>
    <w:rsid w:val="00F11F3C"/>
    <w:rsid w:val="00F205E8"/>
    <w:rsid w:val="00F22D82"/>
    <w:rsid w:val="00F22DDD"/>
    <w:rsid w:val="00F255CA"/>
    <w:rsid w:val="00F304A0"/>
    <w:rsid w:val="00F30E36"/>
    <w:rsid w:val="00F312DE"/>
    <w:rsid w:val="00F31953"/>
    <w:rsid w:val="00F3316B"/>
    <w:rsid w:val="00F359BD"/>
    <w:rsid w:val="00F44D60"/>
    <w:rsid w:val="00F46053"/>
    <w:rsid w:val="00F4797D"/>
    <w:rsid w:val="00F50502"/>
    <w:rsid w:val="00F56F6D"/>
    <w:rsid w:val="00F61688"/>
    <w:rsid w:val="00F627FF"/>
    <w:rsid w:val="00F65D2B"/>
    <w:rsid w:val="00F67C59"/>
    <w:rsid w:val="00F7634E"/>
    <w:rsid w:val="00F77803"/>
    <w:rsid w:val="00F83DD2"/>
    <w:rsid w:val="00F84D14"/>
    <w:rsid w:val="00F854BD"/>
    <w:rsid w:val="00F8606E"/>
    <w:rsid w:val="00F8617F"/>
    <w:rsid w:val="00F928CC"/>
    <w:rsid w:val="00F92F43"/>
    <w:rsid w:val="00FA51D8"/>
    <w:rsid w:val="00FA5AFC"/>
    <w:rsid w:val="00FA6C46"/>
    <w:rsid w:val="00FB0B9C"/>
    <w:rsid w:val="00FB4B47"/>
    <w:rsid w:val="00FB6173"/>
    <w:rsid w:val="00FB62A7"/>
    <w:rsid w:val="00FC0FEF"/>
    <w:rsid w:val="00FC2E87"/>
    <w:rsid w:val="00FC3401"/>
    <w:rsid w:val="00FC645F"/>
    <w:rsid w:val="00FD17C7"/>
    <w:rsid w:val="00FD65DF"/>
    <w:rsid w:val="00FD6BDB"/>
    <w:rsid w:val="00FE0729"/>
    <w:rsid w:val="00FE2075"/>
    <w:rsid w:val="00FE487B"/>
    <w:rsid w:val="00FE4DA3"/>
    <w:rsid w:val="00FE55C8"/>
    <w:rsid w:val="00FE6625"/>
    <w:rsid w:val="00FE6AC9"/>
    <w:rsid w:val="00FE710B"/>
    <w:rsid w:val="00FE7D67"/>
    <w:rsid w:val="00FE7DCC"/>
    <w:rsid w:val="00FF4460"/>
    <w:rsid w:val="00FF49D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6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4A1612"/>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apple-converted-space">
    <w:name w:val="apple-converted-space"/>
    <w:basedOn w:val="a0"/>
    <w:rsid w:val="004A1612"/>
  </w:style>
  <w:style w:type="character" w:styleId="a3">
    <w:name w:val="Emphasis"/>
    <w:basedOn w:val="a0"/>
    <w:uiPriority w:val="20"/>
    <w:qFormat/>
    <w:rsid w:val="004A1612"/>
    <w:rPr>
      <w:i/>
      <w:iCs/>
    </w:rPr>
  </w:style>
  <w:style w:type="character" w:styleId="a4">
    <w:name w:val="Strong"/>
    <w:basedOn w:val="a0"/>
    <w:uiPriority w:val="22"/>
    <w:qFormat/>
    <w:rsid w:val="004A1612"/>
    <w:rPr>
      <w:b/>
      <w:bCs/>
    </w:rPr>
  </w:style>
</w:styles>
</file>

<file path=word/webSettings.xml><?xml version="1.0" encoding="utf-8"?>
<w:webSettings xmlns:r="http://schemas.openxmlformats.org/officeDocument/2006/relationships" xmlns:w="http://schemas.openxmlformats.org/wordprocessingml/2006/main">
  <w:divs>
    <w:div w:id="24118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kesyp.flo.sch.gr/www/attachments/article/555/sxedio_nomoy_institouto_ep.pdf"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1050</Words>
  <Characters>5676</Characters>
  <Application>Microsoft Office Word</Application>
  <DocSecurity>0</DocSecurity>
  <Lines>47</Lines>
  <Paragraphs>13</Paragraphs>
  <ScaleCrop>false</ScaleCrop>
  <Company/>
  <LinksUpToDate>false</LinksUpToDate>
  <CharactersWithSpaces>6713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altec</dc:creator>
  <cp:keywords/>
  <dc:description/>
  <cp:lastModifiedBy>altec</cp:lastModifiedBy>
  <cp:revision>1</cp:revision>
  <dcterms:created xsi:type="dcterms:W3CDTF">2011-05-20T10:01:00Z</dcterms:created>
  <dcterms:modified xsi:type="dcterms:W3CDTF">2011-05-20T10:04:00Z</dcterms:modified>
</cp:coreProperties>
</file>